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B5104A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50008A" w:rsidRPr="0050008A">
              <w:rPr>
                <w:rFonts w:ascii="Times New Roman" w:hAnsi="Times New Roman" w:cs="Times New Roman"/>
              </w:rPr>
              <w:t>08.10.2025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50008A" w:rsidRPr="0050008A">
        <w:rPr>
          <w:rFonts w:ascii="Times New Roman" w:hAnsi="Times New Roman" w:cs="Times New Roman"/>
          <w:sz w:val="24"/>
        </w:rPr>
        <w:t>403-406.2025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50008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08.10.2025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budynku </w:t>
      </w:r>
      <w:r w:rsidR="0050008A" w:rsidRPr="0050008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mieszkalnego jednorodzinnego z garażem w bryle budynku na części działki  nr ew. 325/2 </w:t>
      </w:r>
      <w:r w:rsidR="0050008A">
        <w:rPr>
          <w:rFonts w:ascii="Cambria" w:eastAsia="Times New Roman" w:hAnsi="Cambria" w:cs="Times New Roman"/>
          <w:sz w:val="24"/>
          <w:szCs w:val="24"/>
          <w:lang w:eastAsia="pl-PL"/>
        </w:rPr>
        <w:t>obręb Nowe Groszki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>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50008A" w:rsidRPr="0050008A">
        <w:rPr>
          <w:rFonts w:ascii="Cambria" w:eastAsia="Times New Roman" w:hAnsi="Cambria" w:cs="Times New Roman"/>
          <w:sz w:val="24"/>
          <w:szCs w:val="24"/>
          <w:lang w:eastAsia="pl-PL"/>
        </w:rPr>
        <w:t>327</w:t>
      </w:r>
      <w:r w:rsidR="0050008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50008A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50008A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bookmarkStart w:id="0" w:name="_GoBack"/>
      <w:bookmarkEnd w:id="0"/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50008A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50008A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45D8C"/>
    <w:rsid w:val="004E59BA"/>
    <w:rsid w:val="0050008A"/>
    <w:rsid w:val="006171DA"/>
    <w:rsid w:val="00711B74"/>
    <w:rsid w:val="008A323A"/>
    <w:rsid w:val="00972931"/>
    <w:rsid w:val="009C3EC7"/>
    <w:rsid w:val="00B04861"/>
    <w:rsid w:val="00B33C44"/>
    <w:rsid w:val="00B4132F"/>
    <w:rsid w:val="00B5104A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19</cp:revision>
  <cp:lastPrinted>2025-09-10T09:45:00Z</cp:lastPrinted>
  <dcterms:created xsi:type="dcterms:W3CDTF">2025-05-07T09:53:00Z</dcterms:created>
  <dcterms:modified xsi:type="dcterms:W3CDTF">2025-10-08T11:14:00Z</dcterms:modified>
</cp:coreProperties>
</file>