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48e2485f2824dbe" /><Relationship Type="http://schemas.openxmlformats.org/package/2006/relationships/metadata/core-properties" Target="/package/services/metadata/core-properties/3b1fac21ed674c54838f4b4d77450d07.psmdcp" Id="R1f442b2050b34f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__/2020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29-12-2020</w:t>
      </w:r>
    </w:p>
    <w:p w:rsidR="001F07B1" w:rsidP="001F07B1" w:rsidRDefault="001F07B1">
      <w:pPr>
        <w:pStyle w:val="Nagwek2"/>
      </w:pPr>
      <w:r>
        <w:t>Ad. 1 Otwarcie sesji (godzina 10:12)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13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Informacja burmistrza z działalności w okresie międzysesyjnym  oraz realizacji uchwał Rady Miejskiej.</w:t>
      </w:r>
    </w:p>
    <w:p w:rsidR="001F07B1" w:rsidP="004A5AA5" w:rsidRDefault="004A5AA5">
      <w:pPr>
        <w:pStyle w:val="Nagwek2"/>
      </w:pPr>
      <w:r>
        <w:t>Ad. 4 Uchwalenie Wieloletniej Prognozy Finansowej na lata 2021-2030.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Uchwalenie budżetu gminy na 2021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Podjęcie uchwały w sprawie  ustalenia stawek jednostkowych dotacji przedmiotowej dla Zakładu Gospodarki Komunalnej w Kałuszynie  na 2021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Uchwalenie planu pracy Rady Miejkiej na 2021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Zatwierdzenie planów pracy stałych komisji Rady Miejskiej w Kałuszynie na 2021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Podjęcie uchwały w sprawie zmiany Wieloletniej Prognozy Finansowej na lata 2020-2028.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Podjęcie uchwały w sprawie zmian w budżecie gminy na 2020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Podjęcie uchwały w sprawie terminu częstotliwości i trybu uiszczania opłaty za gospodarowanie odpadami komunalnymi.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12 Podjęcie uchwały w sprawie zbycia nieruchomości gruntowej.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13 Podjecie uchwały w sprawie zbycia nieruchomości gruntowej.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14 Podjęcie uchwały w sprawie  wyznaczenia obszaru i granic aglomeracji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15 Podjęcie uchwały w sprawie zarządzenia wyborów sołtysa sołectwa Patok.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16 Podjęcie uchwały w sprawie zmiany  uchwały Rady Miejskiej w Kałuszynie w sprawie szczegółowych warunków przyznania i odpłatności  za usługi opiekuńcze i specjalistyczne usługi opiekuńcze z wyłączeniem specjalistycznych usług opiekuńczych dla osób z zaburzeniami psychicznymi oraz szczegółowych warunków częściowego lub całkowitego zwolnienia od opłat, jak również trybu ich pobierania.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17 Przyjęcie protokołu nr XVIII/2020 z poprzedniej sesji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18 Sprawy różne.</w:t>
      </w:r>
    </w:p>
    <w:p w:rsidR="001F07B1" w:rsidP="004A5AA5" w:rsidRDefault="004A5AA5">
      <w:pPr>
        <w:pStyle w:val="Nagwek2"/>
      </w:pPr>
      <w:r>
        <w:t>Ad. 19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